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A2E9D" w14:textId="77777777" w:rsidR="00E659C3" w:rsidRPr="00E659C3" w:rsidRDefault="00E659C3" w:rsidP="00E659C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lệ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số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86/2026/AL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được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Hội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đồng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Thẩm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phán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Tòa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nhân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dân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tối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cao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thông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qua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vào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ngày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21/5/2026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và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được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công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bố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theo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 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Quyết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định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162/QĐ-CA 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ngày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29/5/2026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của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Chánh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Tòa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nhân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dân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tối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cao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.</w:t>
      </w:r>
    </w:p>
    <w:p w14:paraId="392B2C01" w14:textId="77777777" w:rsidR="00E659C3" w:rsidRPr="00E659C3" w:rsidRDefault="00E659C3" w:rsidP="00E659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4843FCA7" w14:textId="77777777" w:rsidR="00E659C3" w:rsidRPr="00E659C3" w:rsidRDefault="00E659C3" w:rsidP="00E659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Nguồn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lệ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734067C9" w14:textId="77777777" w:rsidR="00E659C3" w:rsidRPr="00E659C3" w:rsidRDefault="00E659C3" w:rsidP="00E659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05/2022/KDTM-TT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25/02/2022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Hà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thương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“Tranh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"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thương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hữu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T;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hữu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H.</w:t>
      </w:r>
    </w:p>
    <w:p w14:paraId="08DA710D" w14:textId="77777777" w:rsidR="00E659C3" w:rsidRPr="00E659C3" w:rsidRDefault="00E659C3" w:rsidP="00E659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Vị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trí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nội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dung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lệ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3F2FA9E8" w14:textId="77777777" w:rsidR="00E659C3" w:rsidRPr="00E659C3" w:rsidRDefault="00E659C3" w:rsidP="00E659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22960D3D" w14:textId="77777777" w:rsidR="00E659C3" w:rsidRPr="00E659C3" w:rsidRDefault="00E659C3" w:rsidP="00E659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1869C79" w14:textId="77777777" w:rsidR="00E659C3" w:rsidRPr="00E659C3" w:rsidRDefault="00E659C3" w:rsidP="00E659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”.</w:t>
      </w:r>
    </w:p>
    <w:p w14:paraId="542DBA74" w14:textId="77777777" w:rsidR="00E659C3" w:rsidRPr="00E659C3" w:rsidRDefault="00E659C3" w:rsidP="00E659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Khái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quát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nội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dung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lệ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7956CE93" w14:textId="77777777" w:rsidR="00E659C3" w:rsidRPr="00E659C3" w:rsidRDefault="00E659C3" w:rsidP="00E659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59C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-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Tình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huống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lệ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:</w:t>
      </w:r>
    </w:p>
    <w:p w14:paraId="123FE6D3" w14:textId="77777777" w:rsidR="00E659C3" w:rsidRPr="00E659C3" w:rsidRDefault="00E659C3" w:rsidP="00E659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3886E539" w14:textId="77777777" w:rsidR="00E659C3" w:rsidRPr="00E659C3" w:rsidRDefault="00E659C3" w:rsidP="00E659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2A149ADE" w14:textId="77777777" w:rsidR="00E659C3" w:rsidRPr="00E659C3" w:rsidRDefault="00E659C3" w:rsidP="00E659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Tranh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buộc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Sau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dối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đoạt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khởi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khởi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can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kèm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3860459" w14:textId="77777777" w:rsidR="00E659C3" w:rsidRPr="00E659C3" w:rsidRDefault="00E659C3" w:rsidP="00E659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59C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-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Giải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pháp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pháp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lý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:</w:t>
      </w:r>
    </w:p>
    <w:p w14:paraId="7761B208" w14:textId="77777777" w:rsidR="00E659C3" w:rsidRPr="00E659C3" w:rsidRDefault="00E659C3" w:rsidP="00E659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Trường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khởi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can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kèm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9F7C5BA" w14:textId="77777777" w:rsidR="00E659C3" w:rsidRPr="00E659C3" w:rsidRDefault="00E659C3" w:rsidP="00E659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Quy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định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pháp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luật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liên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quan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đến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lệ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31697545" w14:textId="77777777" w:rsidR="00E659C3" w:rsidRPr="00E659C3" w:rsidRDefault="00E659C3" w:rsidP="00E659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Điều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351,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352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353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2015 (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2019, 2020, 2022, 2023, 2024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2025).</w:t>
      </w:r>
    </w:p>
    <w:p w14:paraId="35C4A5EB" w14:textId="77777777" w:rsidR="00E659C3" w:rsidRPr="00E659C3" w:rsidRDefault="00E659C3" w:rsidP="00E659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Từ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khóa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lệ</w:t>
      </w:r>
      <w:proofErr w:type="spellEnd"/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541DF7A5" w14:textId="77777777" w:rsidR="00E659C3" w:rsidRPr="00E659C3" w:rsidRDefault="00E659C3" w:rsidP="00E659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"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", "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khởi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can"; "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Tình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mới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", "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"</w:t>
      </w:r>
    </w:p>
    <w:p w14:paraId="1CB25587" w14:textId="77777777" w:rsidR="00E659C3" w:rsidRPr="00E659C3" w:rsidRDefault="00E659C3" w:rsidP="00E659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NỘI DUNG VỤ ÁN:</w:t>
      </w:r>
    </w:p>
    <w:p w14:paraId="0087D4B1" w14:textId="77777777" w:rsidR="00E659C3" w:rsidRPr="00E659C3" w:rsidRDefault="00E659C3" w:rsidP="00E659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Theo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khởi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19/7/2018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thương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 (do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21/3/2011, Công ty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hữu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 (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viết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T)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mức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29.11.066.899998.TD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thương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 (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viết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Q). Theo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Ngân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T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cam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mọi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300.000.000.000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mức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200.000.000.000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vốn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mở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L/C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khẩu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phục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xuất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thép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phôi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thép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than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2011.</w:t>
      </w:r>
    </w:p>
    <w:p w14:paraId="75F74A10" w14:textId="77777777" w:rsidR="00E659C3" w:rsidRPr="00E659C3" w:rsidRDefault="00E659C3" w:rsidP="00E659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Ngân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ngân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T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246.000.000.000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qua 06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khế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ước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vốn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03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ngân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khế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ước</w:t>
      </w:r>
      <w:proofErr w:type="spellEnd"/>
    </w:p>
    <w:p w14:paraId="2AE137C2" w14:textId="77777777" w:rsidR="00E659C3" w:rsidRPr="00E659C3" w:rsidRDefault="00E659C3" w:rsidP="00E659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Tài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T bao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D24DABB" w14:textId="77777777" w:rsidR="00E659C3" w:rsidRPr="00E659C3" w:rsidRDefault="00E659C3" w:rsidP="00E659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Quyền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đòi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TNHH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thương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18.11.066.899998. ĐB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21/3/2011 (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14/11/2011)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Trung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tâm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dịch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Hà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29/3/2011,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607.550.000.000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9E7F5D3" w14:textId="77777777" w:rsidR="00E659C3" w:rsidRPr="00E659C3" w:rsidRDefault="00E659C3" w:rsidP="00E659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Quyền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đòi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TNHH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thương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78.11.066.899998. ĐB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30/9/2011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thẻ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Trung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tâm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dịch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Hà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04/10/2011,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65.620.480,302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2CE7AD7" w14:textId="77777777" w:rsidR="00E659C3" w:rsidRPr="00E659C3" w:rsidRDefault="00E659C3" w:rsidP="00E659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bất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bên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thỏa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T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bất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64B661F" w14:textId="77777777" w:rsidR="00E659C3" w:rsidRPr="00E659C3" w:rsidRDefault="00E659C3" w:rsidP="00E659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do Công ty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dần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khế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ước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sang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khởi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buộc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T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22/8/2020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535.605.196.882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gốc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133.783.843.161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4.979.395.772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396.841.957.949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đòi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18.11.066.899998.DB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21/3/2011 (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14/11/2011)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78.11.066.899998 ĐB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30/9/2011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T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59968D7" w14:textId="77777777" w:rsidR="00E659C3" w:rsidRPr="00E659C3" w:rsidRDefault="00E659C3" w:rsidP="00E659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3957AEB6" w14:textId="77777777" w:rsidR="00E659C3" w:rsidRPr="00E659C3" w:rsidRDefault="00E659C3" w:rsidP="00E659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 </w:t>
      </w:r>
    </w:p>
    <w:p w14:paraId="73D65534" w14:textId="77777777" w:rsidR="00E659C3" w:rsidRPr="00E659C3" w:rsidRDefault="00E659C3" w:rsidP="00E659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hữu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thương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dịch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lịch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 (do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Đoàn Hồng D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Biên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lấy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lời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04/6/2020)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nhất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trí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lời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mức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29.11.066.899998. TD,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ngân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06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khế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ước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Tài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02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đòi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hữu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thương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(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viết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H)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bất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Công ty T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thỏa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bất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Ngân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bất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Tuy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nhiên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do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khẩu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trừ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bất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thấp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dần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vẫn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khởi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nay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Q. Theo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khởi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Công ty T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14/7/2018, Công ty T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407.316.591.766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gốc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133.783.843.161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313.532.748.605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Ngân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T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thân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T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lâu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nhớ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bất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chúng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mình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Vì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khởi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Q. Do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nay Công ty T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dễ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02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đòi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T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H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bên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Do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nay Công ty H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cũng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H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Thị Thanh 5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H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gì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ở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T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H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cũng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tất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02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đòi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H,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08FAAF9" w14:textId="77777777" w:rsidR="00E659C3" w:rsidRPr="00E659C3" w:rsidRDefault="00E659C3" w:rsidP="00E659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hữu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thương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trụ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tiểu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H1,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Hà Nam. Qua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H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Thị Thanh S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H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cũng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khẩu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425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phường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quận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Hà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tỏa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mở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dưỡng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M.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29EC855" w14:textId="77777777" w:rsidR="00E659C3" w:rsidRPr="00E659C3" w:rsidRDefault="00E659C3" w:rsidP="00E659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ăn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thương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15/2020/KDTM-ST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22/8/2020,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quận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Hai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Hà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0782F5C" w14:textId="77777777" w:rsidR="00E659C3" w:rsidRPr="00E659C3" w:rsidRDefault="00E659C3" w:rsidP="00E659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khởi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T.</w:t>
      </w:r>
    </w:p>
    <w:p w14:paraId="5DBDB087" w14:textId="77777777" w:rsidR="00E659C3" w:rsidRPr="00E659C3" w:rsidRDefault="00E659C3" w:rsidP="00E659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Buộc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T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mức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29.11.066.899998. TD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21/3/2011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06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khế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ước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kèm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22/8/2020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12A13F1" w14:textId="77777777" w:rsidR="00E659C3" w:rsidRPr="00E659C3" w:rsidRDefault="00E659C3" w:rsidP="00E659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gốc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133.783.843.161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64BE9C7" w14:textId="77777777" w:rsidR="00E659C3" w:rsidRPr="00E659C3" w:rsidRDefault="00E659C3" w:rsidP="00E659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-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4.979.395.772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9546058" w14:textId="77777777" w:rsidR="00E659C3" w:rsidRPr="00E659C3" w:rsidRDefault="00E659C3" w:rsidP="00E659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396.841.957.949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</w:p>
    <w:p w14:paraId="7500DCC4" w14:textId="77777777" w:rsidR="00E659C3" w:rsidRPr="00E659C3" w:rsidRDefault="00E659C3" w:rsidP="00E659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535.605.196.882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trăm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mươi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lăm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tỷ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trăm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triệu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trăm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nghìn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trăm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).</w:t>
      </w:r>
    </w:p>
    <w:p w14:paraId="3D225260" w14:textId="77777777" w:rsidR="00E659C3" w:rsidRPr="00E659C3" w:rsidRDefault="00E659C3" w:rsidP="00E659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Kể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xong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bên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gốc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mức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suất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bên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thỏa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phù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68BEFA6C" w14:textId="77777777" w:rsidR="00E659C3" w:rsidRPr="00E659C3" w:rsidRDefault="00E659C3" w:rsidP="00E659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Trường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T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Ngân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19A015E" w14:textId="77777777" w:rsidR="00E659C3" w:rsidRPr="00E659C3" w:rsidRDefault="00E659C3" w:rsidP="00E659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Quyền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đòi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T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TNHH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thương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607.550.000.000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18.11.066.899998.ĐB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21/03/2011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Văn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90.11.066.899998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14/11/2011;</w:t>
      </w:r>
    </w:p>
    <w:p w14:paraId="0C33177E" w14:textId="77777777" w:rsidR="00E659C3" w:rsidRPr="00E659C3" w:rsidRDefault="00E659C3" w:rsidP="00E659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Quyền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đòi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T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TNHH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thương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65.620.480.302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76.11.066.899998.ĐB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30/9/2011.</w:t>
      </w:r>
    </w:p>
    <w:p w14:paraId="1F18F3ED" w14:textId="77777777" w:rsidR="00E659C3" w:rsidRPr="00E659C3" w:rsidRDefault="00E659C3" w:rsidP="00E659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ăn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đương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B527E17" w14:textId="77777777" w:rsidR="00E659C3" w:rsidRPr="00E659C3" w:rsidRDefault="00E659C3" w:rsidP="00E659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15/11/2021,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Quốc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Văn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258/ĐTHS-P1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thương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quận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Hai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Hà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6BBEFEA" w14:textId="77777777" w:rsidR="00E659C3" w:rsidRPr="00E659C3" w:rsidRDefault="00E659C3" w:rsidP="00E659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23/2021/KN-KDTM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10/12/2021, Chánh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Hà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thương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15/2020/KDTM-ST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22/8/2020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quận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Hai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Hà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Hà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tải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thầm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thương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quận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Hai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Hà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2EFC501" w14:textId="77777777" w:rsidR="00E659C3" w:rsidRPr="00E659C3" w:rsidRDefault="00E659C3" w:rsidP="00E659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phiên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Hà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Hà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Chánh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Hà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3658331" w14:textId="77777777" w:rsidR="00E659C3" w:rsidRPr="00E659C3" w:rsidRDefault="00E659C3" w:rsidP="00E659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NHẬN ĐỊNH CỦA TÒA ÁN:</w:t>
      </w:r>
    </w:p>
    <w:p w14:paraId="5866C1BF" w14:textId="77777777" w:rsidR="00E659C3" w:rsidRPr="00E659C3" w:rsidRDefault="00E659C3" w:rsidP="00E659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[1] Theo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Quốc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29.11.066.899998.TD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21/3/2011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Q, Công ty T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 - Chi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nhánh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Hà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phôi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thép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SĨ Việt Nam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0.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Công ty T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phôi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thép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T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mở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)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T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mở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 - Chi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nhánh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H2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mục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đích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căn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Đoàn Hồng D -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T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dối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đoạt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86.000.000.000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gốc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26/9/2021,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Quốc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khởi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khởi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can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Đoàn Hồng D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Thị Thanh S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"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đoạt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"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175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9239925" w14:textId="77777777" w:rsidR="00E659C3" w:rsidRPr="00E659C3" w:rsidRDefault="00E659C3" w:rsidP="00E659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[2] Như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Đoàn Hồng D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Quốc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mới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thương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15/2020/KDTM-ST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22/8/2020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quận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Hai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Hà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Do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thương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5B71BB2" w14:textId="77777777" w:rsidR="00E659C3" w:rsidRPr="00E659C3" w:rsidRDefault="00E659C3" w:rsidP="00E659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[3] Khi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thụ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quận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Hai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214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chờ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can Đoàn Hồng D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Thị Thanh S.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mức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29.11.066.899998.TD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21/3/2011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thương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192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217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2015.</w:t>
      </w:r>
    </w:p>
    <w:p w14:paraId="3CAE7439" w14:textId="77777777" w:rsidR="00E659C3" w:rsidRPr="00E659C3" w:rsidRDefault="00E659C3" w:rsidP="00E659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Vì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lẽ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0BAD9284" w14:textId="77777777" w:rsidR="00E659C3" w:rsidRPr="00E659C3" w:rsidRDefault="00E659C3" w:rsidP="00E659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QUYẾT ĐỊNH:</w:t>
      </w:r>
    </w:p>
    <w:p w14:paraId="1CDA8355" w14:textId="77777777" w:rsidR="00E659C3" w:rsidRPr="00E659C3" w:rsidRDefault="00E659C3" w:rsidP="00E659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351;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356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2015;</w:t>
      </w:r>
    </w:p>
    <w:p w14:paraId="05ED2242" w14:textId="77777777" w:rsidR="00E659C3" w:rsidRPr="00E659C3" w:rsidRDefault="00E659C3" w:rsidP="00E659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23/2021/KN-KDTM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10/12/2021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Chánh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Hà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547F14D" w14:textId="77777777" w:rsidR="00E659C3" w:rsidRPr="00E659C3" w:rsidRDefault="00E659C3" w:rsidP="00E659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ẩn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thương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15/2020/KDTM-ST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22/8/2020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quận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Hai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Hà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"Tranh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"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T;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hữu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thương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H.</w:t>
      </w:r>
    </w:p>
    <w:p w14:paraId="64010112" w14:textId="77777777" w:rsidR="00E659C3" w:rsidRPr="00E659C3" w:rsidRDefault="00E659C3" w:rsidP="00E659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Giao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quận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Hai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Hà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592F12C" w14:textId="77777777" w:rsidR="00E659C3" w:rsidRPr="00E659C3" w:rsidRDefault="00E659C3" w:rsidP="00E659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5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NỘI DUNG ÁN LỆ</w:t>
      </w:r>
    </w:p>
    <w:p w14:paraId="413AF276" w14:textId="77777777" w:rsidR="00E659C3" w:rsidRPr="00E659C3" w:rsidRDefault="00E659C3" w:rsidP="00E659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"[1] Theo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Quốc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29.11.066.899998.TD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21/3/2011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Q. Công ty T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 - Chi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nhánh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Hà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phôi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thép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S1 Việt Nam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Q.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Công ty T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phôi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thép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T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mở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ở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T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mở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 - Chi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nhánh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H2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mục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đích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có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Đoàn Hồng D -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T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dối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đoạt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86.000.000.000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gốc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26/9/2021,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Quốc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khởi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khởi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can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Đoàn Hồng D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Thị Thanh S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"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đoạt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"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175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D746BAB" w14:textId="77777777" w:rsidR="00E659C3" w:rsidRPr="00E659C3" w:rsidRDefault="00E659C3" w:rsidP="00E659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[2] Như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Đoàn Hồng D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Quốc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tình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mới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thương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15/2020/KDTM-ST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22/8/2020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quận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Hai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Hà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Do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thương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nêu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tải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thấm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E659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C0A808F" w14:textId="77777777" w:rsidR="00FC6CEF" w:rsidRDefault="00FC6CEF"/>
    <w:sectPr w:rsidR="00FC6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C3"/>
    <w:rsid w:val="00E659C3"/>
    <w:rsid w:val="00FC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EE38D"/>
  <w15:chartTrackingRefBased/>
  <w15:docId w15:val="{3023D91B-0728-42DC-8604-3C3C914B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659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59C3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6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E659C3"/>
    <w:rPr>
      <w:b/>
      <w:bCs/>
    </w:rPr>
  </w:style>
  <w:style w:type="character" w:styleId="Emphasis">
    <w:name w:val="Emphasis"/>
    <w:basedOn w:val="DefaultParagraphFont"/>
    <w:uiPriority w:val="20"/>
    <w:qFormat/>
    <w:rsid w:val="00E659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5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6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24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8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4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1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2073</Words>
  <Characters>11818</Characters>
  <Application>Microsoft Office Word</Application>
  <DocSecurity>0</DocSecurity>
  <Lines>98</Lines>
  <Paragraphs>27</Paragraphs>
  <ScaleCrop>false</ScaleCrop>
  <Company/>
  <LinksUpToDate>false</LinksUpToDate>
  <CharactersWithSpaces>13864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11</dc:creator>
  <cp:keywords/>
  <dc:description/>
  <cp:lastModifiedBy>Win 11</cp:lastModifiedBy>
  <cp:revision>1</cp:revision>
  <dcterms:created xsi:type="dcterms:W3CDTF">2026-06-12T02:43:00Z</dcterms:created>
  <dcterms:modified xsi:type="dcterms:W3CDTF">2026-06-12T02:43:00Z</dcterms:modified>
</cp:coreProperties>
</file>